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1A1" w14:textId="05F35486" w:rsidR="00AA56EE" w:rsidRPr="0030463E" w:rsidRDefault="00F96A77" w:rsidP="00DC6741">
      <w:pPr>
        <w:rPr>
          <w:rFonts w:cs="Arial"/>
          <w:b/>
          <w:szCs w:val="22"/>
        </w:rPr>
      </w:pPr>
      <w:r w:rsidRPr="00F96A77">
        <w:rPr>
          <w:noProof/>
        </w:rPr>
        <w:t xml:space="preserve"> </w:t>
      </w:r>
      <w:r>
        <w:t xml:space="preserve">      </w:t>
      </w:r>
      <w:r w:rsidR="00790366">
        <w:t xml:space="preserve">                                                                                                                </w:t>
      </w:r>
      <w:r>
        <w:t xml:space="preserve"> </w:t>
      </w:r>
      <w:r w:rsidR="00C808D3">
        <w:rPr>
          <w:noProof/>
        </w:rPr>
        <w:drawing>
          <wp:inline distT="0" distB="0" distL="0" distR="0" wp14:anchorId="26BEF4E5" wp14:editId="5E9E9CD4">
            <wp:extent cx="1320800" cy="7473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040A2FCC" w14:textId="77777777" w:rsidR="003B1B30" w:rsidRPr="0030463E" w:rsidRDefault="003B1B30" w:rsidP="003B1B30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623"/>
        <w:gridCol w:w="8085"/>
      </w:tblGrid>
      <w:tr w:rsidR="003B1B30" w:rsidRPr="002472EC" w14:paraId="2805072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5D86494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Title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9972F79" w14:textId="709870CB" w:rsidR="003B1B30" w:rsidRPr="002472EC" w:rsidRDefault="00220383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Capital – (D&amp;B) Accountant</w:t>
            </w:r>
          </w:p>
        </w:tc>
      </w:tr>
      <w:tr w:rsidR="003B1B30" w:rsidRPr="002472EC" w14:paraId="0391F0E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63F046F8" w14:textId="77777777" w:rsidR="003B1B30" w:rsidRPr="002472EC" w:rsidRDefault="00AA56EE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Directorate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3DF9633" w14:textId="4AF4D12A" w:rsidR="003B1B30" w:rsidRPr="002472EC" w:rsidRDefault="00220383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N/A</w:t>
            </w:r>
          </w:p>
        </w:tc>
      </w:tr>
      <w:tr w:rsidR="003B1B30" w:rsidRPr="002472EC" w14:paraId="660EAA69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0D3A79C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Reports to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2D1CF69" w14:textId="2C89EF5A" w:rsidR="003B1B30" w:rsidRPr="002472EC" w:rsidRDefault="00D8797B" w:rsidP="003F7976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Senior Financial Accountant/ Head of Finance – Treasury and Financial Planning</w:t>
            </w:r>
          </w:p>
        </w:tc>
      </w:tr>
      <w:tr w:rsidR="003B1B30" w:rsidRPr="002472EC" w14:paraId="019DA359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5BAC71FB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purpose</w:t>
            </w:r>
          </w:p>
        </w:tc>
      </w:tr>
      <w:tr w:rsidR="003B1B30" w:rsidRPr="002472EC" w14:paraId="68F27FF9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0891771A" w14:textId="3EE742A4" w:rsidR="0080250A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Populo Living is looking for a </w:t>
            </w:r>
            <w:r w:rsidR="00CA5625">
              <w:t>Capital (D&amp;B) Accountant</w:t>
            </w:r>
            <w:r w:rsidR="0008395F">
              <w:t xml:space="preserve"> to work under the</w:t>
            </w:r>
            <w:r w:rsidR="006140FD">
              <w:t xml:space="preserve"> Senior Financial Accountant</w:t>
            </w:r>
            <w:r w:rsidR="0073159A">
              <w:t>, primarily</w:t>
            </w:r>
            <w:r w:rsidR="006140FD">
              <w:t xml:space="preserve"> working</w:t>
            </w:r>
            <w:r w:rsidR="0073159A">
              <w:t xml:space="preserve"> on the </w:t>
            </w:r>
            <w:r w:rsidR="00933055">
              <w:t>Design and Builds</w:t>
            </w:r>
            <w:r w:rsidR="00C30F2F">
              <w:t xml:space="preserve"> financial reporting and providing financial support to th</w:t>
            </w:r>
            <w:r w:rsidR="006D4B29">
              <w:t>is</w:t>
            </w:r>
            <w:r w:rsidR="00C30F2F">
              <w:t xml:space="preserve"> facet</w:t>
            </w:r>
            <w:r w:rsidR="006D4B29">
              <w:t xml:space="preserve"> of the business.</w:t>
            </w:r>
          </w:p>
          <w:p w14:paraId="39710189" w14:textId="77777777" w:rsidR="00D362FD" w:rsidRDefault="00D362FD" w:rsidP="00B41E5B">
            <w:pPr>
              <w:pStyle w:val="BodyText"/>
              <w:spacing w:before="3" w:line="259" w:lineRule="auto"/>
              <w:ind w:left="119" w:right="80"/>
            </w:pPr>
          </w:p>
          <w:p w14:paraId="04C8F87E" w14:textId="303E63A3" w:rsidR="003330F3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The successful candidate will be responsible for </w:t>
            </w:r>
            <w:r w:rsidR="003330F3">
              <w:t>presenting and managing</w:t>
            </w:r>
            <w:r w:rsidR="00B15DB1">
              <w:t xml:space="preserve"> year end accounts and reports for the Design and Build team.</w:t>
            </w:r>
            <w:r w:rsidR="009278BC">
              <w:t xml:space="preserve"> This role will include </w:t>
            </w:r>
            <w:r w:rsidR="00802FF9">
              <w:t xml:space="preserve">maintaining accurate and up-to-date financial models </w:t>
            </w:r>
            <w:r w:rsidR="00EA7341">
              <w:t xml:space="preserve">and managing financial accounts – having experience working as an accountant is imperative </w:t>
            </w:r>
            <w:r w:rsidR="007B2391">
              <w:t>to perform</w:t>
            </w:r>
            <w:r w:rsidR="00EA7341">
              <w:t xml:space="preserve"> this role</w:t>
            </w:r>
            <w:r w:rsidR="007B2391">
              <w:t>.</w:t>
            </w:r>
            <w:r w:rsidR="00EF5136">
              <w:t xml:space="preserve"> You will also have to be able to maintain strong relationships between the </w:t>
            </w:r>
            <w:r w:rsidR="00BA1B5B">
              <w:t>F</w:t>
            </w:r>
            <w:r w:rsidR="00EF5136">
              <w:t xml:space="preserve">inance team, </w:t>
            </w:r>
            <w:r w:rsidR="00BA1B5B">
              <w:t>D</w:t>
            </w:r>
            <w:r w:rsidR="00EF5136">
              <w:t>eve</w:t>
            </w:r>
            <w:r w:rsidR="00BA1B5B">
              <w:t>lopment team and Carpenters team to be able to access and communicate information.</w:t>
            </w:r>
          </w:p>
          <w:p w14:paraId="2E58481E" w14:textId="77777777" w:rsidR="00B41E5B" w:rsidRDefault="00B41E5B" w:rsidP="00D036FA">
            <w:pPr>
              <w:pStyle w:val="BodyText"/>
              <w:spacing w:before="3" w:line="259" w:lineRule="auto"/>
              <w:ind w:left="0" w:right="80"/>
            </w:pPr>
          </w:p>
          <w:p w14:paraId="0D5CA25E" w14:textId="3B3318F9" w:rsidR="00C81E31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>T</w:t>
            </w:r>
            <w:r w:rsidR="003D2FB5">
              <w:t xml:space="preserve">he </w:t>
            </w:r>
            <w:r w:rsidR="00D33818">
              <w:t xml:space="preserve">successful candidate will need to work closely with the </w:t>
            </w:r>
            <w:r w:rsidR="00974A55">
              <w:t>F</w:t>
            </w:r>
            <w:r w:rsidR="00D33818">
              <w:t>inancial</w:t>
            </w:r>
            <w:r w:rsidR="00974A55">
              <w:t xml:space="preserve"> Controller</w:t>
            </w:r>
            <w:r w:rsidR="00D33818">
              <w:t xml:space="preserve"> </w:t>
            </w:r>
            <w:r w:rsidR="00B63CAD">
              <w:t>to provide accurate development</w:t>
            </w:r>
            <w:r w:rsidR="00704865">
              <w:t xml:space="preserve"> finance reports, to assist the development team with understanding where they are </w:t>
            </w:r>
            <w:r w:rsidR="007B195A">
              <w:t>with their budgets and aide them in understanding whether they are working in a timely manner.</w:t>
            </w:r>
            <w:r w:rsidR="00974A55">
              <w:t xml:space="preserve"> The candidate will also assist the Management Accountant and Financial Controller</w:t>
            </w:r>
            <w:r w:rsidR="001E1BEC">
              <w:t xml:space="preserve"> to develop the annual budget and quarterly reforecasts.</w:t>
            </w:r>
          </w:p>
          <w:p w14:paraId="4BF8E497" w14:textId="7777777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</w:p>
          <w:p w14:paraId="2666567D" w14:textId="387DEAD6" w:rsidR="00B41E5B" w:rsidRDefault="001E1BEC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The two </w:t>
            </w:r>
            <w:r w:rsidR="00492DB9">
              <w:t xml:space="preserve">main facets of this role will be </w:t>
            </w:r>
            <w:r w:rsidR="00A00721">
              <w:t xml:space="preserve">development finance </w:t>
            </w:r>
            <w:r w:rsidR="00492DB9">
              <w:t xml:space="preserve">/ project accounting and </w:t>
            </w:r>
            <w:r w:rsidR="00A00721">
              <w:t xml:space="preserve">financial modelling. </w:t>
            </w:r>
            <w:r w:rsidR="00DB4807">
              <w:t>Experience in these tasks is essential</w:t>
            </w:r>
            <w:r w:rsidR="00FF38FA">
              <w:t xml:space="preserve"> as the role will include financial appraising</w:t>
            </w:r>
            <w:r w:rsidR="00316ABB">
              <w:t>, being part of the auditing process and managing the finances for the development team.</w:t>
            </w:r>
          </w:p>
          <w:p w14:paraId="3F10C6E3" w14:textId="7777777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</w:p>
          <w:p w14:paraId="126C89E3" w14:textId="10AC33F9" w:rsidR="00C34DC6" w:rsidRPr="002472EC" w:rsidRDefault="00C34DC6" w:rsidP="0032711F">
            <w:pPr>
              <w:pStyle w:val="BodyText"/>
              <w:spacing w:before="3" w:line="259" w:lineRule="auto"/>
              <w:ind w:left="119" w:right="80"/>
            </w:pPr>
          </w:p>
        </w:tc>
      </w:tr>
      <w:tr w:rsidR="003B1B30" w:rsidRPr="002472EC" w14:paraId="216953B5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A2465FC" w14:textId="77777777" w:rsidR="003B1B30" w:rsidRPr="002472EC" w:rsidRDefault="00D37160" w:rsidP="000C4619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 xml:space="preserve">Key </w:t>
            </w:r>
            <w:r w:rsidR="003D40CC" w:rsidRPr="002472EC">
              <w:rPr>
                <w:rFonts w:ascii="Calibri" w:hAnsi="Calibri" w:cs="Calibri"/>
                <w:b/>
                <w:szCs w:val="22"/>
              </w:rPr>
              <w:t xml:space="preserve">responsibilities </w:t>
            </w:r>
            <w:r w:rsidR="001A614D" w:rsidRPr="002472EC">
              <w:rPr>
                <w:rFonts w:ascii="Calibri" w:hAnsi="Calibri" w:cs="Calibri"/>
                <w:b/>
                <w:szCs w:val="22"/>
              </w:rPr>
              <w:t xml:space="preserve">“What You Have to Do”  </w:t>
            </w:r>
          </w:p>
        </w:tc>
      </w:tr>
      <w:tr w:rsidR="003B1B30" w:rsidRPr="002472EC" w14:paraId="3C9EAF82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6FFD21EE" w14:textId="77777777" w:rsidR="00833856" w:rsidRPr="00DC60C0" w:rsidRDefault="00833856" w:rsidP="00833856">
            <w:pPr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DC60C0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Key Responsibilities:</w:t>
            </w:r>
          </w:p>
          <w:p w14:paraId="5D0BAA96" w14:textId="77777777" w:rsidR="00833856" w:rsidRPr="00210C75" w:rsidRDefault="00833856" w:rsidP="00833856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  <w:p w14:paraId="239C118A" w14:textId="77777777" w:rsidR="00833856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Reporting to the Senior Financial Accountant.  To provide financial support to the Populo Group, the Director of Finance and the Development team. </w:t>
            </w:r>
          </w:p>
          <w:p w14:paraId="355994D4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AF5D9C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>• Responsible for the management reporting and year end accounting for all the D&amp;B company</w:t>
            </w:r>
          </w:p>
          <w:p w14:paraId="0AA70649" w14:textId="77777777" w:rsidR="00833856" w:rsidRDefault="00833856" w:rsidP="00833856">
            <w:pPr>
              <w:pStyle w:val="Default"/>
              <w:numPr>
                <w:ilvl w:val="0"/>
                <w:numId w:val="47"/>
              </w:numPr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Maintain accurate and up-to-date financial models for monitoring performance for the Board, the shareholder and funder. </w:t>
            </w:r>
          </w:p>
          <w:p w14:paraId="44A8E57A" w14:textId="77777777" w:rsidR="00833856" w:rsidRPr="00210C75" w:rsidRDefault="00833856" w:rsidP="00833856">
            <w:pPr>
              <w:pStyle w:val="Default"/>
              <w:adjustRightInd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853B0" w14:textId="77777777" w:rsidR="00833856" w:rsidRPr="00210C75" w:rsidRDefault="00833856" w:rsidP="00833856">
            <w:pPr>
              <w:pStyle w:val="Defaul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Track all Development Management Service (DMS) agreements to enable the Development team to monitor the performance of development schemes in all phases of the development cycle. </w:t>
            </w:r>
          </w:p>
          <w:p w14:paraId="092F3CAA" w14:textId="77777777" w:rsidR="00833856" w:rsidRPr="00210C75" w:rsidRDefault="00833856" w:rsidP="00833856">
            <w:pPr>
              <w:pStyle w:val="Default"/>
              <w:numPr>
                <w:ilvl w:val="0"/>
                <w:numId w:val="47"/>
              </w:numPr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Model and track the allocation of costs to each DMS agreements and analyse profitability for the D&amp;B company</w:t>
            </w:r>
          </w:p>
          <w:p w14:paraId="7437024C" w14:textId="77777777" w:rsidR="00833856" w:rsidRPr="00210C75" w:rsidRDefault="00833856" w:rsidP="00833856">
            <w:pPr>
              <w:pStyle w:val="Default"/>
              <w:numPr>
                <w:ilvl w:val="0"/>
                <w:numId w:val="47"/>
              </w:numPr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>Work closely with LBN to forecast future income and expenditure</w:t>
            </w:r>
          </w:p>
          <w:p w14:paraId="7D6014D1" w14:textId="77777777" w:rsidR="00833856" w:rsidRDefault="00833856" w:rsidP="00833856">
            <w:pPr>
              <w:pStyle w:val="Default"/>
              <w:numPr>
                <w:ilvl w:val="0"/>
                <w:numId w:val="47"/>
              </w:numPr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>Work with Head of Finance – Treasury and Planning to support the production of the group business plan</w:t>
            </w:r>
          </w:p>
          <w:p w14:paraId="6A0B95D3" w14:textId="77777777" w:rsidR="00833856" w:rsidRDefault="00833856" w:rsidP="00833856">
            <w:pPr>
              <w:pStyle w:val="Default"/>
              <w:adjustRightInd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97FC240" w14:textId="77777777" w:rsidR="00833856" w:rsidRPr="00DC60C0" w:rsidRDefault="00833856" w:rsidP="00833856">
            <w:pPr>
              <w:pStyle w:val="Default"/>
              <w:adjustRightInd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C60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Development Finance/ Project Accounting:</w:t>
            </w:r>
          </w:p>
          <w:p w14:paraId="154C0218" w14:textId="77777777" w:rsidR="00833856" w:rsidRPr="00210C75" w:rsidRDefault="00833856" w:rsidP="00833856">
            <w:pPr>
              <w:pStyle w:val="Default"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91B54" w14:textId="77777777" w:rsidR="00833856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>• Work with the Financial Controller to continue providing development finance reports that enable the Development team to manage development schemes to budget and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9A195E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CBF94C" w14:textId="77777777" w:rsidR="00833856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Provide business partnership services to the Development team to ensure the business is delivering Value for Money (VfM) in all areas of scheme development </w:t>
            </w:r>
          </w:p>
          <w:p w14:paraId="1827C3C2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DB993" w14:textId="77777777" w:rsidR="00833856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Provide support to the Financial Controller/ Management Accountant to develop the annual budget and quarterly reforecast </w:t>
            </w:r>
          </w:p>
          <w:p w14:paraId="00151CEA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2EEAF" w14:textId="77777777" w:rsidR="00833856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Liaise with auditors during the external audit and provide all relevant development finance / treasury information and back up </w:t>
            </w:r>
          </w:p>
          <w:p w14:paraId="1C8B99D4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90A7F" w14:textId="77777777" w:rsidR="00833856" w:rsidRPr="00210C75" w:rsidRDefault="00833856" w:rsidP="008338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sz w:val="22"/>
                <w:szCs w:val="22"/>
              </w:rPr>
              <w:t xml:space="preserve">• Provide support on projects to deliver continuous improvement in the delivery of financial and management accounting </w:t>
            </w:r>
          </w:p>
          <w:p w14:paraId="3434719F" w14:textId="77777777" w:rsidR="00833856" w:rsidRDefault="00833856" w:rsidP="00833856">
            <w:pPr>
              <w:widowControl w:val="0"/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1C59D074" w14:textId="6D79EF6A" w:rsidR="007C203C" w:rsidRPr="007C203C" w:rsidRDefault="007C203C" w:rsidP="00833856">
            <w:pPr>
              <w:pStyle w:val="Default"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BFDF00" w14:textId="77777777" w:rsidR="003B1B30" w:rsidRPr="002472EC" w:rsidRDefault="003B1B30" w:rsidP="00731FBD">
      <w:pPr>
        <w:spacing w:line="276" w:lineRule="auto"/>
        <w:rPr>
          <w:rFonts w:ascii="Calibri" w:hAnsi="Calibri" w:cs="Calibri"/>
          <w:szCs w:val="22"/>
        </w:rPr>
      </w:pPr>
      <w:r w:rsidRPr="002472EC">
        <w:rPr>
          <w:rFonts w:ascii="Calibri" w:hAnsi="Calibri" w:cs="Calibri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9708"/>
      </w:tblGrid>
      <w:tr w:rsidR="003B1B30" w:rsidRPr="002472EC" w14:paraId="133D4274" w14:textId="77777777" w:rsidTr="00D34C5F">
        <w:trPr>
          <w:trHeight w:val="429"/>
        </w:trPr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1DAD580" w14:textId="77777777" w:rsidR="003B1B30" w:rsidRPr="002472EC" w:rsidRDefault="00DC6741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</w:t>
            </w:r>
            <w:r w:rsidR="00AC57AF" w:rsidRPr="002472EC">
              <w:rPr>
                <w:rFonts w:ascii="Calibri" w:hAnsi="Calibri" w:cs="Calibri"/>
                <w:b/>
                <w:szCs w:val="22"/>
              </w:rPr>
              <w:t xml:space="preserve"> competencies</w:t>
            </w:r>
          </w:p>
        </w:tc>
      </w:tr>
      <w:tr w:rsidR="003B1B30" w:rsidRPr="002472EC" w14:paraId="1C9C7726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3BFE72E" w14:textId="77777777" w:rsidR="00837114" w:rsidRPr="002472EC" w:rsidRDefault="00837114" w:rsidP="0083711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Required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C</w:t>
            </w: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ompetencies:</w:t>
            </w:r>
          </w:p>
          <w:p w14:paraId="441480F0" w14:textId="77777777" w:rsidR="00837114" w:rsidRDefault="00837114" w:rsidP="00837114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1A35DFD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10C7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Financial Modelling: </w:t>
            </w:r>
          </w:p>
          <w:p w14:paraId="535994D7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All necessary appraisal work is completed on time in preparation for committees, audit, month and quarter ends </w:t>
            </w:r>
          </w:p>
          <w:p w14:paraId="2EAFE575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D027BD1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Ensure that the financial appraisals are updated at each month end with actual expenditure to date </w:t>
            </w:r>
          </w:p>
          <w:p w14:paraId="5354D140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EC534C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Development Finance / Project Accounting: </w:t>
            </w:r>
          </w:p>
          <w:p w14:paraId="40447CA7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Delivery of continuous improvements in the quality of management information provided to senior managers, the Development team, shareholder, funders and Board </w:t>
            </w:r>
          </w:p>
          <w:p w14:paraId="1E6ED7D4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5AAC98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Increased financial awareness of Development team including the development of business cases and management of projects </w:t>
            </w:r>
          </w:p>
          <w:p w14:paraId="3A9C0F1F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FCF22E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Appraisals and forecasts are an accurate reflection of the business area and forecasts and budgets are well understood including an assessment of risks / opportunities </w:t>
            </w:r>
          </w:p>
          <w:p w14:paraId="75E380FC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D83F2E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Value for Money (VfM) is achieved in all areas of development </w:t>
            </w:r>
          </w:p>
          <w:p w14:paraId="09FC9677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250309" w14:textId="77777777" w:rsidR="00837114" w:rsidRPr="00210C75" w:rsidRDefault="00837114" w:rsidP="00837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Successful external audit and delivered to time </w:t>
            </w:r>
          </w:p>
          <w:p w14:paraId="38F245C3" w14:textId="77777777" w:rsidR="00837114" w:rsidRPr="00963DE7" w:rsidRDefault="00837114" w:rsidP="00837114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E5C4ABE" w14:textId="77777777" w:rsidR="000251CF" w:rsidRPr="00963DE7" w:rsidRDefault="000251CF" w:rsidP="00963DE7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03673B5" w14:textId="77777777" w:rsidR="00200AD7" w:rsidRPr="002472EC" w:rsidRDefault="00200AD7" w:rsidP="00200AD7">
            <w:pPr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  <w:t>Qualifications and Experience:</w:t>
            </w:r>
          </w:p>
          <w:p w14:paraId="0401AC37" w14:textId="77777777" w:rsidR="00200AD7" w:rsidRPr="002472EC" w:rsidRDefault="00200AD7" w:rsidP="00200AD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4F387C11" w14:textId="77777777" w:rsidR="00200AD7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Accountancy qualification – qualified or actively studying</w:t>
            </w:r>
          </w:p>
          <w:p w14:paraId="44FC79F5" w14:textId="77777777" w:rsidR="00200AD7" w:rsidRPr="00210C75" w:rsidRDefault="00200AD7" w:rsidP="00200AD7">
            <w:pPr>
              <w:pStyle w:val="Default"/>
              <w:adjustRightInd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24DF876B" w14:textId="77777777" w:rsidR="00200AD7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Capital and project accountin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</w:p>
          <w:p w14:paraId="2E5ADE6D" w14:textId="77777777" w:rsidR="00200AD7" w:rsidRPr="00210C75" w:rsidRDefault="00200AD7" w:rsidP="00200AD7">
            <w:pPr>
              <w:pStyle w:val="Default"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13CB2B" w14:textId="77777777" w:rsidR="00200AD7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financial reporting re residential development</w:t>
            </w:r>
          </w:p>
          <w:p w14:paraId="65662D13" w14:textId="77777777" w:rsidR="00200AD7" w:rsidRPr="00210C75" w:rsidRDefault="00200AD7" w:rsidP="00200AD7">
            <w:pPr>
              <w:pStyle w:val="Default"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BDC26DE" w14:textId="77777777" w:rsidR="00200AD7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Advanced Excel modelling skills</w:t>
            </w:r>
          </w:p>
          <w:p w14:paraId="67CBDAE1" w14:textId="77777777" w:rsidR="00200AD7" w:rsidRPr="00210C75" w:rsidRDefault="00200AD7" w:rsidP="00200AD7">
            <w:pPr>
              <w:pStyle w:val="Default"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8C77A" w14:textId="77777777" w:rsidR="00200AD7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year end and management accounting</w:t>
            </w:r>
          </w:p>
          <w:p w14:paraId="0A294FB7" w14:textId="77777777" w:rsidR="00200AD7" w:rsidRPr="00210C75" w:rsidRDefault="00200AD7" w:rsidP="00200AD7">
            <w:pPr>
              <w:pStyle w:val="Default"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E3E264" w14:textId="77777777" w:rsidR="00200AD7" w:rsidRPr="00210C75" w:rsidRDefault="00200AD7" w:rsidP="00200AD7">
            <w:pPr>
              <w:pStyle w:val="Default"/>
              <w:numPr>
                <w:ilvl w:val="0"/>
                <w:numId w:val="46"/>
              </w:numPr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10C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business partnering</w:t>
            </w:r>
          </w:p>
          <w:p w14:paraId="7D901C59" w14:textId="77777777" w:rsidR="00C06146" w:rsidRPr="002472EC" w:rsidRDefault="00C06146" w:rsidP="00254418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C5F" w:rsidRPr="002472EC" w14:paraId="70812FED" w14:textId="77777777" w:rsidTr="00D34C5F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993A72D" w14:textId="77777777" w:rsidR="00D34C5F" w:rsidRPr="002472EC" w:rsidRDefault="00D34C5F" w:rsidP="009274D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Benefits</w:t>
            </w:r>
          </w:p>
        </w:tc>
      </w:tr>
      <w:tr w:rsidR="003B1B30" w:rsidRPr="002472EC" w14:paraId="718893B9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7189B59" w14:textId="5C457702" w:rsidR="00D34C5F" w:rsidRPr="00C34DC6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Salary </w:t>
            </w:r>
            <w:r w:rsidR="00200AD7">
              <w:rPr>
                <w:rFonts w:ascii="Calibri" w:hAnsi="Calibri" w:cs="Calibri"/>
                <w:color w:val="auto"/>
                <w:sz w:val="22"/>
                <w:szCs w:val="22"/>
              </w:rPr>
              <w:t>up to £50,000</w:t>
            </w:r>
            <w:r w:rsidR="0068110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per annum </w:t>
            </w:r>
          </w:p>
          <w:p w14:paraId="760C6FB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10% Employer pension through 5% salary sacrifice </w:t>
            </w:r>
          </w:p>
          <w:p w14:paraId="5627674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Training budget of £1k a year </w:t>
            </w:r>
          </w:p>
          <w:p w14:paraId="40B2ACF2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Cycle to Work scheme.</w:t>
            </w:r>
          </w:p>
          <w:p w14:paraId="21A18DB1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Pink Salary sacrifice (Electric car scheme)</w:t>
            </w:r>
          </w:p>
          <w:p w14:paraId="2DF02A03" w14:textId="4AFC110F" w:rsidR="004F324B" w:rsidRPr="00105628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Life assurance cover of 4x salary</w:t>
            </w:r>
            <w:r w:rsidR="001056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F9809DC" w14:textId="77777777" w:rsidR="004827BC" w:rsidRPr="00731FBD" w:rsidRDefault="004827BC" w:rsidP="00731FBD">
      <w:pPr>
        <w:spacing w:line="276" w:lineRule="auto"/>
        <w:rPr>
          <w:rFonts w:cs="Arial"/>
          <w:szCs w:val="22"/>
        </w:rPr>
      </w:pPr>
    </w:p>
    <w:sectPr w:rsidR="004827BC" w:rsidRPr="00731FBD" w:rsidSect="000E15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EDC16"/>
    <w:multiLevelType w:val="hybridMultilevel"/>
    <w:tmpl w:val="2451E3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B0CC8"/>
    <w:multiLevelType w:val="hybridMultilevel"/>
    <w:tmpl w:val="24E60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9C76"/>
    <w:multiLevelType w:val="hybridMultilevel"/>
    <w:tmpl w:val="C24475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83D0B"/>
    <w:multiLevelType w:val="hybridMultilevel"/>
    <w:tmpl w:val="302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9E5"/>
    <w:multiLevelType w:val="hybridMultilevel"/>
    <w:tmpl w:val="CE1E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1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F45E3A"/>
    <w:multiLevelType w:val="hybridMultilevel"/>
    <w:tmpl w:val="67D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1B8F"/>
    <w:multiLevelType w:val="hybridMultilevel"/>
    <w:tmpl w:val="EA9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2D80"/>
    <w:multiLevelType w:val="hybridMultilevel"/>
    <w:tmpl w:val="77B85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72957"/>
    <w:multiLevelType w:val="hybridMultilevel"/>
    <w:tmpl w:val="5F2A347C"/>
    <w:lvl w:ilvl="0" w:tplc="07B27B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E28054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78945E02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F3F6C19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87A116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E80A8496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DD56B36A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6382F974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8CC861B4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23D61DF"/>
    <w:multiLevelType w:val="hybridMultilevel"/>
    <w:tmpl w:val="EA44C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51081"/>
    <w:multiLevelType w:val="hybridMultilevel"/>
    <w:tmpl w:val="B044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789"/>
    <w:multiLevelType w:val="hybridMultilevel"/>
    <w:tmpl w:val="0CCC57F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A3E692F"/>
    <w:multiLevelType w:val="multilevel"/>
    <w:tmpl w:val="148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A26A4"/>
    <w:multiLevelType w:val="hybridMultilevel"/>
    <w:tmpl w:val="738AF7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45BBF"/>
    <w:multiLevelType w:val="hybridMultilevel"/>
    <w:tmpl w:val="510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3074"/>
    <w:multiLevelType w:val="multilevel"/>
    <w:tmpl w:val="F8A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3B78A0"/>
    <w:multiLevelType w:val="hybridMultilevel"/>
    <w:tmpl w:val="CB224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65A7838"/>
    <w:multiLevelType w:val="hybridMultilevel"/>
    <w:tmpl w:val="D1DC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44576"/>
    <w:multiLevelType w:val="hybridMultilevel"/>
    <w:tmpl w:val="FE8E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522A5"/>
    <w:multiLevelType w:val="hybridMultilevel"/>
    <w:tmpl w:val="7554A78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F4FB5"/>
    <w:multiLevelType w:val="multilevel"/>
    <w:tmpl w:val="37F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60883"/>
    <w:multiLevelType w:val="hybridMultilevel"/>
    <w:tmpl w:val="C89ECF7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C0D5E"/>
    <w:multiLevelType w:val="hybridMultilevel"/>
    <w:tmpl w:val="E1A4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23E7E"/>
    <w:multiLevelType w:val="hybridMultilevel"/>
    <w:tmpl w:val="3E42B2D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EA8"/>
    <w:multiLevelType w:val="multilevel"/>
    <w:tmpl w:val="C3E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4A601F"/>
    <w:multiLevelType w:val="hybridMultilevel"/>
    <w:tmpl w:val="ABF2E1A8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57160"/>
    <w:multiLevelType w:val="hybridMultilevel"/>
    <w:tmpl w:val="DE34056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3150D"/>
    <w:multiLevelType w:val="hybridMultilevel"/>
    <w:tmpl w:val="E5408E7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6DC4"/>
    <w:multiLevelType w:val="hybridMultilevel"/>
    <w:tmpl w:val="77F4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48D"/>
    <w:multiLevelType w:val="hybridMultilevel"/>
    <w:tmpl w:val="F52AE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E050D"/>
    <w:multiLevelType w:val="hybridMultilevel"/>
    <w:tmpl w:val="C87CF762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1580A"/>
    <w:multiLevelType w:val="hybridMultilevel"/>
    <w:tmpl w:val="69C04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033C"/>
    <w:multiLevelType w:val="hybridMultilevel"/>
    <w:tmpl w:val="AD588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26AC1"/>
    <w:multiLevelType w:val="hybridMultilevel"/>
    <w:tmpl w:val="559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308DF"/>
    <w:multiLevelType w:val="hybridMultilevel"/>
    <w:tmpl w:val="9132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D3DF9"/>
    <w:multiLevelType w:val="hybridMultilevel"/>
    <w:tmpl w:val="AF70D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C20928"/>
    <w:multiLevelType w:val="hybridMultilevel"/>
    <w:tmpl w:val="E3B691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D7858F1"/>
    <w:multiLevelType w:val="hybridMultilevel"/>
    <w:tmpl w:val="8DA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4F2E"/>
    <w:multiLevelType w:val="hybridMultilevel"/>
    <w:tmpl w:val="A23C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43D5A"/>
    <w:multiLevelType w:val="hybridMultilevel"/>
    <w:tmpl w:val="060E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3287"/>
    <w:multiLevelType w:val="hybridMultilevel"/>
    <w:tmpl w:val="3BFC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0DC"/>
    <w:multiLevelType w:val="hybridMultilevel"/>
    <w:tmpl w:val="E45429B8"/>
    <w:lvl w:ilvl="0" w:tplc="BAA62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70B86"/>
    <w:multiLevelType w:val="hybridMultilevel"/>
    <w:tmpl w:val="C24EC13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CF54E"/>
    <w:multiLevelType w:val="hybridMultilevel"/>
    <w:tmpl w:val="3FC4D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94267639">
    <w:abstractNumId w:val="16"/>
  </w:num>
  <w:num w:numId="2" w16cid:durableId="1292445150">
    <w:abstractNumId w:val="9"/>
  </w:num>
  <w:num w:numId="3" w16cid:durableId="1961759664">
    <w:abstractNumId w:val="4"/>
  </w:num>
  <w:num w:numId="4" w16cid:durableId="49118461">
    <w:abstractNumId w:val="32"/>
  </w:num>
  <w:num w:numId="5" w16cid:durableId="1512260337">
    <w:abstractNumId w:val="41"/>
  </w:num>
  <w:num w:numId="6" w16cid:durableId="1749881825">
    <w:abstractNumId w:val="31"/>
  </w:num>
  <w:num w:numId="7" w16cid:durableId="1440639953">
    <w:abstractNumId w:val="16"/>
  </w:num>
  <w:num w:numId="8" w16cid:durableId="1978410856">
    <w:abstractNumId w:val="35"/>
  </w:num>
  <w:num w:numId="9" w16cid:durableId="1829055263">
    <w:abstractNumId w:val="7"/>
  </w:num>
  <w:num w:numId="10" w16cid:durableId="2080057897">
    <w:abstractNumId w:val="29"/>
  </w:num>
  <w:num w:numId="11" w16cid:durableId="690449221">
    <w:abstractNumId w:val="1"/>
  </w:num>
  <w:num w:numId="12" w16cid:durableId="19663023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1345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268287">
    <w:abstractNumId w:val="39"/>
  </w:num>
  <w:num w:numId="15" w16cid:durableId="488910461">
    <w:abstractNumId w:val="0"/>
  </w:num>
  <w:num w:numId="16" w16cid:durableId="502546302">
    <w:abstractNumId w:val="37"/>
  </w:num>
  <w:num w:numId="17" w16cid:durableId="180826867">
    <w:abstractNumId w:val="36"/>
  </w:num>
  <w:num w:numId="18" w16cid:durableId="1255017963">
    <w:abstractNumId w:val="2"/>
  </w:num>
  <w:num w:numId="19" w16cid:durableId="327294198">
    <w:abstractNumId w:val="43"/>
  </w:num>
  <w:num w:numId="20" w16cid:durableId="1014498188">
    <w:abstractNumId w:val="33"/>
  </w:num>
  <w:num w:numId="21" w16cid:durableId="868878540">
    <w:abstractNumId w:val="22"/>
  </w:num>
  <w:num w:numId="22" w16cid:durableId="602149852">
    <w:abstractNumId w:val="11"/>
  </w:num>
  <w:num w:numId="23" w16cid:durableId="124541237">
    <w:abstractNumId w:val="15"/>
  </w:num>
  <w:num w:numId="24" w16cid:durableId="182941304">
    <w:abstractNumId w:val="24"/>
  </w:num>
  <w:num w:numId="25" w16cid:durableId="614797845">
    <w:abstractNumId w:val="12"/>
  </w:num>
  <w:num w:numId="26" w16cid:durableId="1564368840">
    <w:abstractNumId w:val="3"/>
  </w:num>
  <w:num w:numId="27" w16cid:durableId="1245991278">
    <w:abstractNumId w:val="17"/>
  </w:num>
  <w:num w:numId="28" w16cid:durableId="852764288">
    <w:abstractNumId w:val="40"/>
  </w:num>
  <w:num w:numId="29" w16cid:durableId="816453266">
    <w:abstractNumId w:val="34"/>
  </w:num>
  <w:num w:numId="30" w16cid:durableId="232130383">
    <w:abstractNumId w:val="13"/>
  </w:num>
  <w:num w:numId="31" w16cid:durableId="2140296846">
    <w:abstractNumId w:val="38"/>
  </w:num>
  <w:num w:numId="32" w16cid:durableId="1560286107">
    <w:abstractNumId w:val="10"/>
  </w:num>
  <w:num w:numId="33" w16cid:durableId="2031251563">
    <w:abstractNumId w:val="6"/>
  </w:num>
  <w:num w:numId="34" w16cid:durableId="98650645">
    <w:abstractNumId w:val="27"/>
  </w:num>
  <w:num w:numId="35" w16cid:durableId="282079569">
    <w:abstractNumId w:val="25"/>
  </w:num>
  <w:num w:numId="36" w16cid:durableId="2147233299">
    <w:abstractNumId w:val="30"/>
  </w:num>
  <w:num w:numId="37" w16cid:durableId="764763075">
    <w:abstractNumId w:val="5"/>
  </w:num>
  <w:num w:numId="38" w16cid:durableId="1271861063">
    <w:abstractNumId w:val="23"/>
  </w:num>
  <w:num w:numId="39" w16cid:durableId="375205426">
    <w:abstractNumId w:val="42"/>
  </w:num>
  <w:num w:numId="40" w16cid:durableId="657727050">
    <w:abstractNumId w:val="21"/>
  </w:num>
  <w:num w:numId="41" w16cid:durableId="711149477">
    <w:abstractNumId w:val="26"/>
  </w:num>
  <w:num w:numId="42" w16cid:durableId="1144196100">
    <w:abstractNumId w:val="19"/>
  </w:num>
  <w:num w:numId="43" w16cid:durableId="394009326">
    <w:abstractNumId w:val="8"/>
  </w:num>
  <w:num w:numId="44" w16cid:durableId="868881556">
    <w:abstractNumId w:val="14"/>
  </w:num>
  <w:num w:numId="45" w16cid:durableId="12159694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51534855">
    <w:abstractNumId w:val="28"/>
  </w:num>
  <w:num w:numId="47" w16cid:durableId="4027223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30"/>
    <w:rsid w:val="00004B3F"/>
    <w:rsid w:val="00005E2F"/>
    <w:rsid w:val="000251CF"/>
    <w:rsid w:val="000429F9"/>
    <w:rsid w:val="00045949"/>
    <w:rsid w:val="00050DB6"/>
    <w:rsid w:val="00066872"/>
    <w:rsid w:val="0008395F"/>
    <w:rsid w:val="0008423D"/>
    <w:rsid w:val="00086F7F"/>
    <w:rsid w:val="00092663"/>
    <w:rsid w:val="000C4619"/>
    <w:rsid w:val="000C57CF"/>
    <w:rsid w:val="000D177B"/>
    <w:rsid w:val="000D7577"/>
    <w:rsid w:val="000E1531"/>
    <w:rsid w:val="000E478A"/>
    <w:rsid w:val="000E567A"/>
    <w:rsid w:val="000E5A97"/>
    <w:rsid w:val="000E60B4"/>
    <w:rsid w:val="000F166D"/>
    <w:rsid w:val="000F4D7F"/>
    <w:rsid w:val="00100138"/>
    <w:rsid w:val="001027DE"/>
    <w:rsid w:val="00105628"/>
    <w:rsid w:val="0011552F"/>
    <w:rsid w:val="00116327"/>
    <w:rsid w:val="001435D4"/>
    <w:rsid w:val="00156924"/>
    <w:rsid w:val="00161626"/>
    <w:rsid w:val="0016352D"/>
    <w:rsid w:val="001735A5"/>
    <w:rsid w:val="001747BA"/>
    <w:rsid w:val="00191961"/>
    <w:rsid w:val="00194303"/>
    <w:rsid w:val="001A0535"/>
    <w:rsid w:val="001A614D"/>
    <w:rsid w:val="001A7483"/>
    <w:rsid w:val="001C074B"/>
    <w:rsid w:val="001C55B8"/>
    <w:rsid w:val="001D1035"/>
    <w:rsid w:val="001E1BEC"/>
    <w:rsid w:val="001F7BFA"/>
    <w:rsid w:val="00200AD7"/>
    <w:rsid w:val="00220383"/>
    <w:rsid w:val="002217EC"/>
    <w:rsid w:val="00225813"/>
    <w:rsid w:val="00243378"/>
    <w:rsid w:val="00246D63"/>
    <w:rsid w:val="002472EC"/>
    <w:rsid w:val="00254418"/>
    <w:rsid w:val="0027777C"/>
    <w:rsid w:val="00280348"/>
    <w:rsid w:val="002B0E22"/>
    <w:rsid w:val="002B50CF"/>
    <w:rsid w:val="002B7708"/>
    <w:rsid w:val="002C0E4B"/>
    <w:rsid w:val="002D776F"/>
    <w:rsid w:val="002E03AA"/>
    <w:rsid w:val="003041FF"/>
    <w:rsid w:val="0030463E"/>
    <w:rsid w:val="00313CAC"/>
    <w:rsid w:val="003142A8"/>
    <w:rsid w:val="00316ABB"/>
    <w:rsid w:val="0032711F"/>
    <w:rsid w:val="003330F3"/>
    <w:rsid w:val="00351202"/>
    <w:rsid w:val="00354B8A"/>
    <w:rsid w:val="003558DB"/>
    <w:rsid w:val="00367025"/>
    <w:rsid w:val="00374FAC"/>
    <w:rsid w:val="00380D81"/>
    <w:rsid w:val="00381A38"/>
    <w:rsid w:val="00384603"/>
    <w:rsid w:val="00387BF6"/>
    <w:rsid w:val="003A59CC"/>
    <w:rsid w:val="003B1B30"/>
    <w:rsid w:val="003B1C08"/>
    <w:rsid w:val="003B7DE2"/>
    <w:rsid w:val="003D2FB5"/>
    <w:rsid w:val="003D40CC"/>
    <w:rsid w:val="003D5B96"/>
    <w:rsid w:val="003E0521"/>
    <w:rsid w:val="003E3670"/>
    <w:rsid w:val="003E5DB2"/>
    <w:rsid w:val="003F1546"/>
    <w:rsid w:val="003F2655"/>
    <w:rsid w:val="003F7976"/>
    <w:rsid w:val="00417FA0"/>
    <w:rsid w:val="00425C91"/>
    <w:rsid w:val="00426494"/>
    <w:rsid w:val="00460CE3"/>
    <w:rsid w:val="00461103"/>
    <w:rsid w:val="004621BC"/>
    <w:rsid w:val="00472719"/>
    <w:rsid w:val="00475D1C"/>
    <w:rsid w:val="004827BC"/>
    <w:rsid w:val="00482DAF"/>
    <w:rsid w:val="00484FE8"/>
    <w:rsid w:val="00492DB9"/>
    <w:rsid w:val="00497ADB"/>
    <w:rsid w:val="004C3769"/>
    <w:rsid w:val="004D1338"/>
    <w:rsid w:val="004D3A95"/>
    <w:rsid w:val="004E1EC9"/>
    <w:rsid w:val="004E3DE7"/>
    <w:rsid w:val="004F1BF9"/>
    <w:rsid w:val="004F27EE"/>
    <w:rsid w:val="004F29DA"/>
    <w:rsid w:val="004F324B"/>
    <w:rsid w:val="004F6B48"/>
    <w:rsid w:val="004F79E9"/>
    <w:rsid w:val="005036E3"/>
    <w:rsid w:val="0051552C"/>
    <w:rsid w:val="00520D9C"/>
    <w:rsid w:val="00521097"/>
    <w:rsid w:val="005373C6"/>
    <w:rsid w:val="00546EF8"/>
    <w:rsid w:val="00554A98"/>
    <w:rsid w:val="00561057"/>
    <w:rsid w:val="005652B0"/>
    <w:rsid w:val="005842D5"/>
    <w:rsid w:val="00593286"/>
    <w:rsid w:val="005B5E27"/>
    <w:rsid w:val="005C03FC"/>
    <w:rsid w:val="005C1AE8"/>
    <w:rsid w:val="005C4FAC"/>
    <w:rsid w:val="005E3901"/>
    <w:rsid w:val="005E4D7E"/>
    <w:rsid w:val="005E5465"/>
    <w:rsid w:val="005F05DE"/>
    <w:rsid w:val="0060540A"/>
    <w:rsid w:val="00605DE1"/>
    <w:rsid w:val="006140FD"/>
    <w:rsid w:val="00633620"/>
    <w:rsid w:val="00634408"/>
    <w:rsid w:val="006433CC"/>
    <w:rsid w:val="0066772D"/>
    <w:rsid w:val="00672176"/>
    <w:rsid w:val="0068110F"/>
    <w:rsid w:val="00682FDD"/>
    <w:rsid w:val="006A3A1D"/>
    <w:rsid w:val="006B6A6D"/>
    <w:rsid w:val="006C1AAF"/>
    <w:rsid w:val="006D2FB0"/>
    <w:rsid w:val="006D4B29"/>
    <w:rsid w:val="006E58EC"/>
    <w:rsid w:val="006E70CC"/>
    <w:rsid w:val="006F52E3"/>
    <w:rsid w:val="00702004"/>
    <w:rsid w:val="00702DA5"/>
    <w:rsid w:val="00704865"/>
    <w:rsid w:val="00715472"/>
    <w:rsid w:val="00726244"/>
    <w:rsid w:val="0073159A"/>
    <w:rsid w:val="00731FBD"/>
    <w:rsid w:val="00733108"/>
    <w:rsid w:val="00751195"/>
    <w:rsid w:val="00763EF4"/>
    <w:rsid w:val="0077325E"/>
    <w:rsid w:val="0078369F"/>
    <w:rsid w:val="00790366"/>
    <w:rsid w:val="00792626"/>
    <w:rsid w:val="00794EE5"/>
    <w:rsid w:val="00795354"/>
    <w:rsid w:val="0079624B"/>
    <w:rsid w:val="007965D6"/>
    <w:rsid w:val="007A78A4"/>
    <w:rsid w:val="007B195A"/>
    <w:rsid w:val="007B2391"/>
    <w:rsid w:val="007C1BB9"/>
    <w:rsid w:val="007C203C"/>
    <w:rsid w:val="007C250B"/>
    <w:rsid w:val="007D6507"/>
    <w:rsid w:val="007F71A8"/>
    <w:rsid w:val="0080250A"/>
    <w:rsid w:val="00802FF9"/>
    <w:rsid w:val="008067B7"/>
    <w:rsid w:val="00807A4D"/>
    <w:rsid w:val="00833856"/>
    <w:rsid w:val="00836A18"/>
    <w:rsid w:val="00837114"/>
    <w:rsid w:val="00845BE3"/>
    <w:rsid w:val="00851A4A"/>
    <w:rsid w:val="0085421B"/>
    <w:rsid w:val="0086053D"/>
    <w:rsid w:val="008771AB"/>
    <w:rsid w:val="008814AC"/>
    <w:rsid w:val="008A3604"/>
    <w:rsid w:val="008A4E09"/>
    <w:rsid w:val="008C0AC7"/>
    <w:rsid w:val="008D6A71"/>
    <w:rsid w:val="008E2471"/>
    <w:rsid w:val="00921446"/>
    <w:rsid w:val="009259C0"/>
    <w:rsid w:val="00927322"/>
    <w:rsid w:val="009274D4"/>
    <w:rsid w:val="009278BC"/>
    <w:rsid w:val="00931F69"/>
    <w:rsid w:val="00933055"/>
    <w:rsid w:val="00933CD4"/>
    <w:rsid w:val="00963DE7"/>
    <w:rsid w:val="009717AD"/>
    <w:rsid w:val="00974A55"/>
    <w:rsid w:val="009A13D1"/>
    <w:rsid w:val="009C69E6"/>
    <w:rsid w:val="009E1902"/>
    <w:rsid w:val="009E193F"/>
    <w:rsid w:val="009F38EA"/>
    <w:rsid w:val="009F461A"/>
    <w:rsid w:val="00A00721"/>
    <w:rsid w:val="00A0241D"/>
    <w:rsid w:val="00A07BD3"/>
    <w:rsid w:val="00A2037B"/>
    <w:rsid w:val="00A338BC"/>
    <w:rsid w:val="00A544A3"/>
    <w:rsid w:val="00A87E32"/>
    <w:rsid w:val="00A92DEE"/>
    <w:rsid w:val="00A93990"/>
    <w:rsid w:val="00AA34CD"/>
    <w:rsid w:val="00AA56EE"/>
    <w:rsid w:val="00AA6AD6"/>
    <w:rsid w:val="00AB02B8"/>
    <w:rsid w:val="00AC3C38"/>
    <w:rsid w:val="00AC4803"/>
    <w:rsid w:val="00AC57AF"/>
    <w:rsid w:val="00AD1D5C"/>
    <w:rsid w:val="00B03F87"/>
    <w:rsid w:val="00B12BD6"/>
    <w:rsid w:val="00B15DB1"/>
    <w:rsid w:val="00B26E01"/>
    <w:rsid w:val="00B318FA"/>
    <w:rsid w:val="00B41E5B"/>
    <w:rsid w:val="00B52556"/>
    <w:rsid w:val="00B622BF"/>
    <w:rsid w:val="00B63CAD"/>
    <w:rsid w:val="00B804C4"/>
    <w:rsid w:val="00B828FB"/>
    <w:rsid w:val="00B85ADB"/>
    <w:rsid w:val="00B92E71"/>
    <w:rsid w:val="00B940A1"/>
    <w:rsid w:val="00BA1B5B"/>
    <w:rsid w:val="00BA4B0D"/>
    <w:rsid w:val="00BC1D1A"/>
    <w:rsid w:val="00BC7CDD"/>
    <w:rsid w:val="00BE5D4F"/>
    <w:rsid w:val="00C00E56"/>
    <w:rsid w:val="00C06146"/>
    <w:rsid w:val="00C1145D"/>
    <w:rsid w:val="00C14E11"/>
    <w:rsid w:val="00C30F2F"/>
    <w:rsid w:val="00C34DC6"/>
    <w:rsid w:val="00C61543"/>
    <w:rsid w:val="00C808D3"/>
    <w:rsid w:val="00C81E31"/>
    <w:rsid w:val="00C834A3"/>
    <w:rsid w:val="00C8789E"/>
    <w:rsid w:val="00CA2AB4"/>
    <w:rsid w:val="00CA5625"/>
    <w:rsid w:val="00CB01C7"/>
    <w:rsid w:val="00CB20B7"/>
    <w:rsid w:val="00CC4EF0"/>
    <w:rsid w:val="00CD5937"/>
    <w:rsid w:val="00CD60EA"/>
    <w:rsid w:val="00CE0545"/>
    <w:rsid w:val="00CE535D"/>
    <w:rsid w:val="00CF4553"/>
    <w:rsid w:val="00D036FA"/>
    <w:rsid w:val="00D05EEA"/>
    <w:rsid w:val="00D33818"/>
    <w:rsid w:val="00D33EDB"/>
    <w:rsid w:val="00D34C5F"/>
    <w:rsid w:val="00D362FD"/>
    <w:rsid w:val="00D37160"/>
    <w:rsid w:val="00D53AF8"/>
    <w:rsid w:val="00D753CA"/>
    <w:rsid w:val="00D77F25"/>
    <w:rsid w:val="00D8797B"/>
    <w:rsid w:val="00D9319D"/>
    <w:rsid w:val="00D951B9"/>
    <w:rsid w:val="00D969F3"/>
    <w:rsid w:val="00DB14EE"/>
    <w:rsid w:val="00DB4807"/>
    <w:rsid w:val="00DC0403"/>
    <w:rsid w:val="00DC6741"/>
    <w:rsid w:val="00DC6BBB"/>
    <w:rsid w:val="00DC74A3"/>
    <w:rsid w:val="00DD4B1F"/>
    <w:rsid w:val="00DF66F1"/>
    <w:rsid w:val="00E42F7D"/>
    <w:rsid w:val="00E4345D"/>
    <w:rsid w:val="00E46E26"/>
    <w:rsid w:val="00E50319"/>
    <w:rsid w:val="00E616B7"/>
    <w:rsid w:val="00E84901"/>
    <w:rsid w:val="00E8599A"/>
    <w:rsid w:val="00E9547C"/>
    <w:rsid w:val="00EA00E8"/>
    <w:rsid w:val="00EA4E83"/>
    <w:rsid w:val="00EA7341"/>
    <w:rsid w:val="00EC199A"/>
    <w:rsid w:val="00EC4835"/>
    <w:rsid w:val="00ED6BF8"/>
    <w:rsid w:val="00EE4076"/>
    <w:rsid w:val="00EF5136"/>
    <w:rsid w:val="00F017F5"/>
    <w:rsid w:val="00F152A8"/>
    <w:rsid w:val="00F359AB"/>
    <w:rsid w:val="00F40A60"/>
    <w:rsid w:val="00F5720D"/>
    <w:rsid w:val="00F73E21"/>
    <w:rsid w:val="00F7450B"/>
    <w:rsid w:val="00F84919"/>
    <w:rsid w:val="00F96A77"/>
    <w:rsid w:val="00FA05C5"/>
    <w:rsid w:val="00FA1053"/>
    <w:rsid w:val="00FA75C2"/>
    <w:rsid w:val="00FC1779"/>
    <w:rsid w:val="00FD19E5"/>
    <w:rsid w:val="00FD20B2"/>
    <w:rsid w:val="00FD3038"/>
    <w:rsid w:val="00FD6275"/>
    <w:rsid w:val="00FE236D"/>
    <w:rsid w:val="00FF01F2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2161C"/>
  <w15:chartTrackingRefBased/>
  <w15:docId w15:val="{C820456D-E936-4D39-8E46-4139BD4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3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41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B1B30"/>
    <w:pPr>
      <w:jc w:val="center"/>
    </w:pPr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semiHidden/>
    <w:rsid w:val="00173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8DB"/>
    <w:pPr>
      <w:ind w:left="720"/>
    </w:pPr>
  </w:style>
  <w:style w:type="paragraph" w:customStyle="1" w:styleId="Default">
    <w:name w:val="Default"/>
    <w:rsid w:val="00FD62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54418"/>
    <w:rPr>
      <w:rFonts w:ascii="Calibri Light" w:hAnsi="Calibri Light"/>
      <w:color w:val="2F5496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40A60"/>
    <w:pPr>
      <w:widowControl w:val="0"/>
      <w:autoSpaceDE w:val="0"/>
      <w:autoSpaceDN w:val="0"/>
      <w:ind w:left="840"/>
    </w:pPr>
    <w:rPr>
      <w:rFonts w:ascii="Calibri" w:eastAsia="Calibri" w:hAnsi="Calibri" w:cs="Calibri"/>
      <w:szCs w:val="22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F40A60"/>
    <w:rPr>
      <w:rFonts w:ascii="Calibri" w:eastAsia="Calibri" w:hAnsi="Calibri" w:cs="Calibri"/>
      <w:sz w:val="22"/>
      <w:szCs w:val="22"/>
      <w:lang w:val="en-US" w:eastAsia="en-US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836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561057"/>
    <w:pPr>
      <w:spacing w:after="227" w:line="280" w:lineRule="atLeast"/>
    </w:pPr>
    <w:rPr>
      <w:rFonts w:asciiTheme="minorHAnsi" w:eastAsiaTheme="majorEastAsia" w:hAnsiTheme="minorHAnsi" w:cstheme="majorBidi"/>
      <w:b/>
      <w:bCs/>
      <w:iCs/>
      <w:color w:val="000000" w:themeColor="text1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8C3422F158469F4DFB1E14D3B171" ma:contentTypeVersion="2" ma:contentTypeDescription="Create a new document." ma:contentTypeScope="" ma:versionID="b75d49b98c644cb531eef945ffa96afb">
  <xsd:schema xmlns:xsd="http://www.w3.org/2001/XMLSchema" xmlns:xs="http://www.w3.org/2001/XMLSchema" xmlns:p="http://schemas.microsoft.com/office/2006/metadata/properties" xmlns:ns2="7d0b61c2-0ffc-45f9-ae5c-2ea583e5be5f" targetNamespace="http://schemas.microsoft.com/office/2006/metadata/properties" ma:root="true" ma:fieldsID="77cf4e9ae83ecc7376e7c7908d8bf09a" ns2:_="">
    <xsd:import namespace="7d0b61c2-0ffc-45f9-ae5c-2ea583e5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61c2-0ffc-45f9-ae5c-2ea583e5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95E4C-338D-4A74-A5A1-DF24DDDA4CF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d0b61c2-0ffc-45f9-ae5c-2ea583e5be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FFB120-D053-46AB-A214-9C43D8E5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61c2-0ffc-45f9-ae5c-2ea583e5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8BC90-8914-4C44-88B2-1C6DD1D3B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8DCE8-4EB1-4F3A-B769-414F99938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4222</Characters>
  <Application>Microsoft Office Word</Application>
  <DocSecurity>0</DocSecurity>
  <Lines>102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Quality Commission</vt:lpstr>
    </vt:vector>
  </TitlesOfParts>
  <Company>CQC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Quality Commission</dc:title>
  <dc:subject/>
  <dc:creator>Cliftonj</dc:creator>
  <cp:keywords/>
  <cp:lastModifiedBy>Tara Murray</cp:lastModifiedBy>
  <cp:revision>36</cp:revision>
  <cp:lastPrinted>2020-06-29T10:10:00Z</cp:lastPrinted>
  <dcterms:created xsi:type="dcterms:W3CDTF">2024-03-10T17:53:00Z</dcterms:created>
  <dcterms:modified xsi:type="dcterms:W3CDTF">2024-03-10T18:26:00Z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0x010100FCA28C3422F158469F4DFB1E14D3B171</vt:lpwstr>
  </property>
</Properties>
</file>